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E109D" w14:textId="77777777" w:rsidR="00E27EE4" w:rsidRPr="00144B4A" w:rsidRDefault="00E27EE4" w:rsidP="00E27EE4">
      <w:pPr>
        <w:jc w:val="center"/>
        <w:rPr>
          <w:rFonts w:ascii="Arial" w:hAnsi="Arial" w:cs="Arial"/>
          <w:b/>
          <w:bCs/>
          <w:color w:val="000000" w:themeColor="text1"/>
          <w:sz w:val="28"/>
          <w:szCs w:val="28"/>
        </w:rPr>
      </w:pPr>
    </w:p>
    <w:p w14:paraId="320954CA" w14:textId="77777777" w:rsidR="00E27EE4" w:rsidRPr="00144B4A" w:rsidRDefault="00E27EE4" w:rsidP="00E27EE4">
      <w:pPr>
        <w:jc w:val="center"/>
        <w:rPr>
          <w:rFonts w:ascii="Arial" w:hAnsi="Arial" w:cs="Arial"/>
          <w:b/>
          <w:bCs/>
          <w:color w:val="000000" w:themeColor="text1"/>
          <w:sz w:val="24"/>
          <w:szCs w:val="24"/>
        </w:rPr>
      </w:pPr>
    </w:p>
    <w:p w14:paraId="33F0701F" w14:textId="0F4054FE" w:rsidR="00BF2390" w:rsidRPr="00144B4A" w:rsidRDefault="00E27EE4" w:rsidP="00E27EE4">
      <w:pPr>
        <w:jc w:val="center"/>
        <w:rPr>
          <w:rFonts w:ascii="Arial" w:hAnsi="Arial" w:cs="Arial"/>
          <w:b/>
          <w:bCs/>
          <w:color w:val="000000" w:themeColor="text1"/>
          <w:sz w:val="24"/>
          <w:szCs w:val="24"/>
        </w:rPr>
      </w:pPr>
      <w:r w:rsidRPr="00144B4A">
        <w:rPr>
          <w:rFonts w:ascii="Arial" w:hAnsi="Arial" w:cs="Arial"/>
          <w:b/>
          <w:bCs/>
          <w:color w:val="000000" w:themeColor="text1"/>
          <w:sz w:val="24"/>
          <w:szCs w:val="24"/>
        </w:rPr>
        <w:t>AB „LTG INFRA“ TAIKOMŲ PAGRINDINIŲ NORMATYVINIŲ DOKUMENTŲ IR TEISĖS AKTŲ SĄRAŠAS</w:t>
      </w:r>
    </w:p>
    <w:p w14:paraId="23E5F16C" w14:textId="77777777" w:rsidR="00E27EE4" w:rsidRPr="00144B4A" w:rsidRDefault="00E27EE4" w:rsidP="00E27EE4">
      <w:pPr>
        <w:jc w:val="center"/>
        <w:rPr>
          <w:rFonts w:ascii="Arial" w:hAnsi="Arial" w:cs="Arial"/>
          <w:b/>
          <w:bCs/>
          <w:color w:val="000000" w:themeColor="text1"/>
          <w:sz w:val="28"/>
          <w:szCs w:val="28"/>
        </w:rPr>
      </w:pPr>
    </w:p>
    <w:p w14:paraId="21EAC535" w14:textId="5F00EFB3"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2014 m. lapkričio 18 d. Komisijos reglamentas (ES) Nr. 1300/2014 dėl Sąjungos geležinkelių sistemos prieinamumo neįgaliesiems ir riboto judumo asmenims techninių sąveikos specifikacijų;</w:t>
      </w:r>
    </w:p>
    <w:p w14:paraId="469C41B8"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Lietuvos respublikos statybos įstatymas;</w:t>
      </w:r>
    </w:p>
    <w:p w14:paraId="739203E9"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STR 1.06.01:2016 „Statybos darbai. Statinio statybos priežiūra“;</w:t>
      </w:r>
    </w:p>
    <w:p w14:paraId="43ACFA34"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STR 1.05.01:2017 „Statybą leidžiantys dokumentai. Statybos užbaigimas. Statybos sustabdymas. Savavališkos statybos padarinių šalinimas. Statybos pagal neteisėtai išduotą statybą leidžiantį dokumentą padarinių šalinimas“;</w:t>
      </w:r>
    </w:p>
    <w:p w14:paraId="5E0780C5"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STR 2.01.01 (1-6) „Esminiai statinio reikalavimai“;</w:t>
      </w:r>
    </w:p>
    <w:p w14:paraId="60E3E446"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TR 2.01:2019 „Automobilių kelių ir geležinkelio tiltų ir tunelių projektavimas“;</w:t>
      </w:r>
    </w:p>
    <w:p w14:paraId="21B9420D"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Geležinkelių transporto eismo pertraukų suteikimo ir vykdymo taisyklės (patvirtinta AB „LTG </w:t>
      </w:r>
      <w:proofErr w:type="spellStart"/>
      <w:r w:rsidRPr="00144B4A">
        <w:rPr>
          <w:rFonts w:ascii="Arial" w:hAnsi="Arial" w:cs="Arial"/>
          <w:color w:val="000000" w:themeColor="text1"/>
          <w:sz w:val="20"/>
          <w:szCs w:val="20"/>
          <w:lang w:val="lt-LT"/>
        </w:rPr>
        <w:t>Infra</w:t>
      </w:r>
      <w:proofErr w:type="spellEnd"/>
      <w:r w:rsidRPr="00144B4A">
        <w:rPr>
          <w:rFonts w:ascii="Arial" w:hAnsi="Arial" w:cs="Arial"/>
          <w:color w:val="000000" w:themeColor="text1"/>
          <w:sz w:val="20"/>
          <w:szCs w:val="20"/>
          <w:lang w:val="lt-LT"/>
        </w:rPr>
        <w:t>“ generalinio direktoriaus 2024 m. d. sprendimu 2024-05-09 Nr. SPR-L1(INFRA)-67/2024);</w:t>
      </w:r>
    </w:p>
    <w:p w14:paraId="5B27A06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Saugos eksploatuojant elektros įrenginius taisyklėmis, patvirtintomis Lietuvos Respublikos energetikos ministro 2010 m. kovo 30 d. įsakymu Nr. 1-100;</w:t>
      </w:r>
    </w:p>
    <w:p w14:paraId="1A4235D0"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Elektros įrenginių įrengimo bendrosiomis taisyklėmis, patvirtintomis Lietuvos Respublikos energetikos ministro 2012 m. vasario 3 d. įsakymu Nr. 1-22;</w:t>
      </w:r>
    </w:p>
    <w:p w14:paraId="79173996" w14:textId="77F7EBFB"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commentRangeStart w:id="0"/>
      <w:r w:rsidRPr="00144B4A">
        <w:rPr>
          <w:rFonts w:ascii="Arial" w:hAnsi="Arial" w:cs="Arial"/>
          <w:color w:val="000000" w:themeColor="text1"/>
          <w:sz w:val="20"/>
          <w:szCs w:val="20"/>
          <w:lang w:val="lt-LT"/>
        </w:rPr>
        <w:t>Lietuvos Respublikos Aplinkos apsaugos įstatymu</w:t>
      </w:r>
      <w:r w:rsidR="15D96D48" w:rsidRPr="00144B4A">
        <w:rPr>
          <w:rFonts w:ascii="Arial" w:hAnsi="Arial" w:cs="Arial"/>
          <w:color w:val="000000" w:themeColor="text1"/>
          <w:sz w:val="20"/>
          <w:szCs w:val="20"/>
          <w:lang w:val="lt-LT"/>
        </w:rPr>
        <w:t xml:space="preserve"> https://www.e-tar.lt/portal/lt/legalAct/TAR.E2780B68DE62/asr</w:t>
      </w:r>
      <w:r w:rsidRPr="00144B4A">
        <w:rPr>
          <w:rFonts w:ascii="Arial" w:hAnsi="Arial" w:cs="Arial"/>
          <w:color w:val="000000" w:themeColor="text1"/>
          <w:sz w:val="20"/>
          <w:szCs w:val="20"/>
          <w:lang w:val="lt-LT"/>
        </w:rPr>
        <w:t>;</w:t>
      </w:r>
      <w:commentRangeEnd w:id="0"/>
      <w:r w:rsidR="004D72AE" w:rsidRPr="00144B4A">
        <w:rPr>
          <w:rStyle w:val="Komentaronuoroda"/>
          <w:rFonts w:ascii="Arial" w:eastAsiaTheme="minorHAnsi" w:hAnsi="Arial" w:cs="Arial"/>
          <w:color w:val="000000" w:themeColor="text1"/>
        </w:rPr>
        <w:commentReference w:id="0"/>
      </w:r>
    </w:p>
    <w:p w14:paraId="0B092535"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rPr>
        <w:t xml:space="preserve">LTGI 163/K </w:t>
      </w:r>
      <w:proofErr w:type="spellStart"/>
      <w:r w:rsidRPr="00144B4A">
        <w:rPr>
          <w:rFonts w:ascii="Arial" w:hAnsi="Arial" w:cs="Arial"/>
          <w:color w:val="000000" w:themeColor="text1"/>
          <w:sz w:val="20"/>
          <w:szCs w:val="20"/>
        </w:rPr>
        <w:t>Statinių</w:t>
      </w:r>
      <w:proofErr w:type="spellEnd"/>
      <w:r w:rsidRPr="00144B4A">
        <w:rPr>
          <w:rFonts w:ascii="Arial" w:hAnsi="Arial" w:cs="Arial"/>
          <w:color w:val="000000" w:themeColor="text1"/>
          <w:sz w:val="20"/>
          <w:szCs w:val="20"/>
        </w:rPr>
        <w:t xml:space="preserve"> </w:t>
      </w:r>
      <w:proofErr w:type="spellStart"/>
      <w:r w:rsidRPr="00144B4A">
        <w:rPr>
          <w:rFonts w:ascii="Arial" w:hAnsi="Arial" w:cs="Arial"/>
          <w:color w:val="000000" w:themeColor="text1"/>
          <w:sz w:val="20"/>
          <w:szCs w:val="20"/>
        </w:rPr>
        <w:t>artumo</w:t>
      </w:r>
      <w:proofErr w:type="spellEnd"/>
      <w:r w:rsidRPr="00144B4A">
        <w:rPr>
          <w:rFonts w:ascii="Arial" w:hAnsi="Arial" w:cs="Arial"/>
          <w:color w:val="000000" w:themeColor="text1"/>
          <w:sz w:val="20"/>
          <w:szCs w:val="20"/>
        </w:rPr>
        <w:t xml:space="preserve"> </w:t>
      </w:r>
      <w:proofErr w:type="spellStart"/>
      <w:r w:rsidRPr="00144B4A">
        <w:rPr>
          <w:rFonts w:ascii="Arial" w:hAnsi="Arial" w:cs="Arial"/>
          <w:color w:val="000000" w:themeColor="text1"/>
          <w:sz w:val="20"/>
          <w:szCs w:val="20"/>
        </w:rPr>
        <w:t>gabaritų</w:t>
      </w:r>
      <w:proofErr w:type="spellEnd"/>
      <w:r w:rsidRPr="00144B4A">
        <w:rPr>
          <w:rFonts w:ascii="Arial" w:hAnsi="Arial" w:cs="Arial"/>
          <w:color w:val="000000" w:themeColor="text1"/>
          <w:sz w:val="20"/>
          <w:szCs w:val="20"/>
        </w:rPr>
        <w:t xml:space="preserve"> </w:t>
      </w:r>
      <w:proofErr w:type="spellStart"/>
      <w:r w:rsidRPr="00144B4A">
        <w:rPr>
          <w:rFonts w:ascii="Arial" w:hAnsi="Arial" w:cs="Arial"/>
          <w:color w:val="000000" w:themeColor="text1"/>
          <w:sz w:val="20"/>
          <w:szCs w:val="20"/>
        </w:rPr>
        <w:t>taikymo</w:t>
      </w:r>
      <w:proofErr w:type="spellEnd"/>
      <w:r w:rsidRPr="00144B4A">
        <w:rPr>
          <w:rFonts w:ascii="Arial" w:hAnsi="Arial" w:cs="Arial"/>
          <w:color w:val="000000" w:themeColor="text1"/>
          <w:sz w:val="20"/>
          <w:szCs w:val="20"/>
        </w:rPr>
        <w:t xml:space="preserve"> </w:t>
      </w:r>
      <w:proofErr w:type="spellStart"/>
      <w:proofErr w:type="gramStart"/>
      <w:r w:rsidRPr="00144B4A">
        <w:rPr>
          <w:rFonts w:ascii="Arial" w:hAnsi="Arial" w:cs="Arial"/>
          <w:color w:val="000000" w:themeColor="text1"/>
          <w:sz w:val="20"/>
          <w:szCs w:val="20"/>
        </w:rPr>
        <w:t>nurodymai</w:t>
      </w:r>
      <w:proofErr w:type="spellEnd"/>
      <w:r w:rsidRPr="00144B4A">
        <w:rPr>
          <w:rFonts w:ascii="Arial" w:hAnsi="Arial" w:cs="Arial"/>
          <w:color w:val="000000" w:themeColor="text1"/>
          <w:sz w:val="20"/>
          <w:szCs w:val="20"/>
        </w:rPr>
        <w:t>;</w:t>
      </w:r>
      <w:proofErr w:type="gramEnd"/>
    </w:p>
    <w:p w14:paraId="78E5238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Geležinkelių žemės sankasų projektavimo nurodymais (SN449-72);</w:t>
      </w:r>
    </w:p>
    <w:p w14:paraId="099060D0"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Geležinkelių transporto eismo signalizacijos taisyklėmis, patvirtintomis Lietuvos Respublikos susisiekimo ministro 1997 m. gruodžio 30 d. Nr. 483;</w:t>
      </w:r>
    </w:p>
    <w:p w14:paraId="02DEC7B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Geležinkelio eismo taisyklėmis, patvirtintomis Lietuvos Respublikos susisiekimo ministro 1999 m. gruodžio 30 d. Nr. 452;</w:t>
      </w:r>
    </w:p>
    <w:p w14:paraId="37A1254E"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Reikalavimų geležinkelio kelio, kelio statinių ir įrenginių būklei ir dokumentų pateikimui priimant remonto darbus LTGI 138/K;</w:t>
      </w:r>
    </w:p>
    <w:p w14:paraId="3C20E90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LTGI 147/K Geležinkelio kelio statinių techninės priežiūros taisyklės; </w:t>
      </w:r>
    </w:p>
    <w:p w14:paraId="55993551"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192/K Sankasos techninės priežiūros taisyklės ir defektai;</w:t>
      </w:r>
    </w:p>
    <w:p w14:paraId="719F5AF6"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LTGI 245/AA Signalizacijos sistemų ir įrenginių kabelių klojimo taisyklės; </w:t>
      </w:r>
    </w:p>
    <w:p w14:paraId="097176D9"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Geležinkelių signalizacijos įrenginių priėmimo naudoti taisyklėmis 165/AA;</w:t>
      </w:r>
    </w:p>
    <w:p w14:paraId="60E91076"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Rangovų darbų atlikimo statybvietėse šalia veikiančio geležinkelio ir eismo saugos užtikrinimo tvarkos aprašu, patvirtintu AB „Lietuvos geležinkeliai“ generalinio direktoriaus 2015-06-04 įsakymu Nr. Į-467; </w:t>
      </w:r>
    </w:p>
    <w:p w14:paraId="68297075"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238/BD Geležinkelių infrastruktūros objektų priėmimo naudoti taisyklės;</w:t>
      </w:r>
    </w:p>
    <w:p w14:paraId="18CC206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19/AA Signalizacijos sistemų ir įrenginių techninės priežiūros ir remonto reglamentas;</w:t>
      </w:r>
    </w:p>
    <w:p w14:paraId="6A04F35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Lietuvos Respublikos architektūros įstatymas; </w:t>
      </w:r>
    </w:p>
    <w:p w14:paraId="5AF7AF69"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Lietuvos Respublikos nekilnojamojo kultūros paveldo apsaugos įstatymas; </w:t>
      </w:r>
    </w:p>
    <w:p w14:paraId="6B113D70"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Lietuvos Respublikos specialiųjų žemės naudojimo sąlygų įstatymas;</w:t>
      </w:r>
    </w:p>
    <w:p w14:paraId="0F6ED9EB"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Lietuvos Respublikos teritorijų planavimo įstatymas; </w:t>
      </w:r>
    </w:p>
    <w:p w14:paraId="2AAAB2F6"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Statybos techninis reglamentas STR 1.04.04:2017 „Statinio projektavimas, projekto ekspertizė“, patvirtintu Lietuvos Respublikos aplinkos ministro 2016 m. lapkričio 11 d. įsakymu Nr. D1-738 ir vėlesniais pakeitimais;</w:t>
      </w:r>
    </w:p>
    <w:p w14:paraId="71A04FB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Statybos techninis reglamentas STR 1.01.02:2016 ,,Normatyviniai statybos techniniai dokumentai", patvirtintu Lietuvos Respublikos aplinkos ministro 2002 m. balandžio 12 d. įsakymu Nr. 173 ir vėlesniais pakeitimais; </w:t>
      </w:r>
    </w:p>
    <w:p w14:paraId="2E203E0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Statybos techninis reglamentas STR 1.01.03:2017 ,,Statinių klasifikavimas", patvirtintu Lietuvos Respublikos aplinkos ministro 2016 m. spalio 27 d. įsakymu Nr. D1-713 ir vėlesniais pakeitimais; </w:t>
      </w:r>
    </w:p>
    <w:p w14:paraId="25F9A00A"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lastRenderedPageBreak/>
        <w:t xml:space="preserve">Statybos techninis reglamentas STR 1.01.08:2002 ,,Statinio statybos rūšys", patvirtintu Lietuvos Respublikos aplinkos ministro 2002 m. gruodžio 5 d. įsakymu Nr. 622 ir vėlesniais pakeitimais; </w:t>
      </w:r>
    </w:p>
    <w:p w14:paraId="747D6A42"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Statybos techninis reglamentas STR 1.05.01:2017 ,, Statybą leidžiantys dokumentai. Statybos užbaigimas. Nebaigto statinio registravimas ir perleidimas. Statybos sustabdymas. Savavališkos statybos padarinių šalinimas. Statybos pagal neteisėtai išduotą statybą leidžiantį dokumentą padarinių šalinimas", patvirtintu Lietuvos Respublikos aplinkos ministro 2016 m. gruodžio 12 d. įsakymu Nr. D1-878 ir vėlesniais pakeitimais;</w:t>
      </w:r>
    </w:p>
    <w:p w14:paraId="0A6262E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Statybos techninis reglamentas STR 1.06.01:2016 ,,Statybos darbai. Statinio statybos priežiūra", patvirtintu Lietuvos Respublikos aplinkos ministro 2016 m. gruodžio 2 d. įsakymu Nr. D1-848 ir vėlesniais pakeitimais;</w:t>
      </w:r>
    </w:p>
    <w:p w14:paraId="7B784A25"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Statybos techninis reglamentas STR 2.07.01:2003 "Vandentiekis ir nuotekų </w:t>
      </w:r>
      <w:proofErr w:type="spellStart"/>
      <w:r w:rsidRPr="00144B4A">
        <w:rPr>
          <w:rFonts w:ascii="Arial" w:hAnsi="Arial" w:cs="Arial"/>
          <w:color w:val="000000" w:themeColor="text1"/>
          <w:sz w:val="20"/>
          <w:szCs w:val="20"/>
          <w:lang w:val="lt-LT"/>
        </w:rPr>
        <w:t>šalintuvas</w:t>
      </w:r>
      <w:proofErr w:type="spellEnd"/>
      <w:r w:rsidRPr="00144B4A">
        <w:rPr>
          <w:rFonts w:ascii="Arial" w:hAnsi="Arial" w:cs="Arial"/>
          <w:color w:val="000000" w:themeColor="text1"/>
          <w:sz w:val="20"/>
          <w:szCs w:val="20"/>
          <w:lang w:val="lt-LT"/>
        </w:rPr>
        <w:t>. Pastato inžinerinės sistemos. Lauko inžineriniai tinklai", patvirtintu Lietuvos Respublikos aplinkos ministro 2003 m. liepos 21 d. įsakymu Nr. 390 ir vėlesniais pakeitimas;</w:t>
      </w:r>
    </w:p>
    <w:p w14:paraId="50C169A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Statybos techninis reglamentas STR 1.01.01:2005 "Kultūros paveldo statinio tvarkomųjų statybos darbų reglamentai";</w:t>
      </w:r>
    </w:p>
    <w:p w14:paraId="26FFCB9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STR 2.03.01:2019 „Statinių prieinamumas“;</w:t>
      </w:r>
    </w:p>
    <w:p w14:paraId="3E3347F6"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LR Susisiekimo ministro 1996 m. rugsėjo 20 d. įsakymu Nr. 297 patvirtinti Techninio geležinkelių naudojimo nuostatai (su vėlesniais pakeitimais); </w:t>
      </w:r>
    </w:p>
    <w:p w14:paraId="505C80DB"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LR Susisiekimo ministro 2004 m. gegužės 5 d. įsakymu Nr. 3-25/D1-249 patvirtintos Geležinkelio stočių projektavimo taisyklės (su vėlesniais pakeitimais); </w:t>
      </w:r>
    </w:p>
    <w:p w14:paraId="282F7775" w14:textId="18BF1906"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Tvarkybos darbų projektavimo sąlygų išdavimo taisyklės PTR 3.02.01:2014; </w:t>
      </w:r>
    </w:p>
    <w:p w14:paraId="40068AF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Tvarkybos darbų rūšys PTR 3.08.01:2013; </w:t>
      </w:r>
    </w:p>
    <w:p w14:paraId="560ECA5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Kultūros paveldo tvarkybos darbų projektų rengimo taisyklės PTR 3.06.01:2007; </w:t>
      </w:r>
    </w:p>
    <w:p w14:paraId="1074B7C2"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2014 m. lapkričio 18 d. Komisijos reglamentas (ES) Nr. 1299/2014 dėl Europos Sąjungos geležinkelių sistemos infrastruktūros posistemio techninės sąveikos specifikacijos; </w:t>
      </w:r>
    </w:p>
    <w:p w14:paraId="68BA4CA4"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AB „Lietuvos geležinkeliai“ ir/ar AB „LTG INFRA“ normatyvinių dokumentų reikalavimais. Viešai prieinami AB „LTG </w:t>
      </w:r>
      <w:proofErr w:type="spellStart"/>
      <w:r w:rsidRPr="00144B4A">
        <w:rPr>
          <w:rFonts w:ascii="Arial" w:hAnsi="Arial" w:cs="Arial"/>
          <w:color w:val="000000" w:themeColor="text1"/>
          <w:sz w:val="20"/>
          <w:szCs w:val="20"/>
          <w:lang w:val="lt-LT"/>
        </w:rPr>
        <w:t>Infra</w:t>
      </w:r>
      <w:proofErr w:type="spellEnd"/>
      <w:r w:rsidRPr="00144B4A">
        <w:rPr>
          <w:rFonts w:ascii="Arial" w:hAnsi="Arial" w:cs="Arial"/>
          <w:color w:val="000000" w:themeColor="text1"/>
          <w:sz w:val="20"/>
          <w:szCs w:val="20"/>
          <w:lang w:val="lt-LT"/>
        </w:rPr>
        <w:t xml:space="preserve">“ normatyviniai dokumentai skelbiami https://ltginfra.lt/normine-technine-dokumentacija; </w:t>
      </w:r>
    </w:p>
    <w:p w14:paraId="4E1B0E2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Kitais, pirkimo objektui taikomais, ES ir Lietuvos Respublikoje galiojančių teisės aktų bei normatyvinių dokumentų reikalavimais;</w:t>
      </w:r>
    </w:p>
    <w:p w14:paraId="7EFA3764"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Rangos darbų vykdymo AB „LTG </w:t>
      </w:r>
      <w:proofErr w:type="spellStart"/>
      <w:r w:rsidRPr="00144B4A">
        <w:rPr>
          <w:rFonts w:ascii="Arial" w:hAnsi="Arial" w:cs="Arial"/>
          <w:color w:val="000000" w:themeColor="text1"/>
          <w:sz w:val="20"/>
          <w:szCs w:val="20"/>
          <w:lang w:val="lt-LT"/>
        </w:rPr>
        <w:t>Infra</w:t>
      </w:r>
      <w:proofErr w:type="spellEnd"/>
      <w:r w:rsidRPr="00144B4A">
        <w:rPr>
          <w:rFonts w:ascii="Arial" w:hAnsi="Arial" w:cs="Arial"/>
          <w:color w:val="000000" w:themeColor="text1"/>
          <w:sz w:val="20"/>
          <w:szCs w:val="20"/>
          <w:lang w:val="lt-LT"/>
        </w:rPr>
        <w:t>“ elektros įrenginiuose saugos taisyklės AB LTGI 350-AE;</w:t>
      </w:r>
    </w:p>
    <w:p w14:paraId="602BFFF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Triukšmo ribiniai dydžiai gyvenamuosiuose ir visuomenės paskirties pastatuose bei jų aplinkoje HN 33:2011.</w:t>
      </w:r>
    </w:p>
    <w:p w14:paraId="6FCAD0C4" w14:textId="2DFB7517" w:rsidR="00F82678" w:rsidRPr="00144B4A" w:rsidRDefault="00995F07"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Elektros energetiką reglamentuojant</w:t>
      </w:r>
      <w:r w:rsidR="004F436B" w:rsidRPr="00144B4A">
        <w:rPr>
          <w:rFonts w:ascii="Arial" w:hAnsi="Arial" w:cs="Arial"/>
          <w:color w:val="000000" w:themeColor="text1"/>
          <w:sz w:val="20"/>
          <w:szCs w:val="20"/>
          <w:lang w:val="lt-LT"/>
        </w:rPr>
        <w:t xml:space="preserve">ys dokumentai: </w:t>
      </w:r>
      <w:hyperlink r:id="rId15" w:history="1">
        <w:r w:rsidR="004F436B" w:rsidRPr="00144B4A">
          <w:rPr>
            <w:rStyle w:val="Hipersaitas"/>
            <w:rFonts w:ascii="Arial" w:hAnsi="Arial" w:cs="Arial"/>
            <w:color w:val="000000" w:themeColor="text1"/>
            <w:sz w:val="20"/>
            <w:szCs w:val="20"/>
            <w:lang w:val="lt-LT"/>
          </w:rPr>
          <w:t>https://enmin.lrv.lt/lt/veiklos-sritys-3/elektra/teises-aktai-elektros-sektorius/</w:t>
        </w:r>
      </w:hyperlink>
      <w:r w:rsidR="004F436B" w:rsidRPr="00144B4A">
        <w:rPr>
          <w:rFonts w:ascii="Arial" w:hAnsi="Arial" w:cs="Arial"/>
          <w:color w:val="000000" w:themeColor="text1"/>
          <w:sz w:val="20"/>
          <w:szCs w:val="20"/>
          <w:lang w:val="lt-LT"/>
        </w:rPr>
        <w:t xml:space="preserve"> </w:t>
      </w:r>
    </w:p>
    <w:p w14:paraId="3CB23AFD" w14:textId="74A6F1D3" w:rsidR="00C906D9" w:rsidRPr="00144B4A" w:rsidRDefault="0084221C" w:rsidP="00D73BDA">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w:t>
      </w:r>
      <w:r w:rsidR="0069133F" w:rsidRPr="00144B4A">
        <w:rPr>
          <w:rFonts w:ascii="Arial" w:hAnsi="Arial" w:cs="Arial"/>
          <w:color w:val="000000" w:themeColor="text1"/>
          <w:sz w:val="20"/>
          <w:szCs w:val="20"/>
          <w:lang w:val="lt-LT"/>
        </w:rPr>
        <w:t xml:space="preserve">R </w:t>
      </w:r>
      <w:r w:rsidR="002A5C10" w:rsidRPr="00144B4A">
        <w:rPr>
          <w:rFonts w:ascii="Arial" w:hAnsi="Arial" w:cs="Arial"/>
          <w:color w:val="000000" w:themeColor="text1"/>
          <w:sz w:val="20"/>
          <w:szCs w:val="20"/>
          <w:lang w:val="lt-LT"/>
        </w:rPr>
        <w:t xml:space="preserve">sveikatos </w:t>
      </w:r>
      <w:r w:rsidR="00220E5A" w:rsidRPr="00144B4A">
        <w:rPr>
          <w:rFonts w:ascii="Arial" w:hAnsi="Arial" w:cs="Arial"/>
          <w:color w:val="000000" w:themeColor="text1"/>
          <w:sz w:val="20"/>
          <w:szCs w:val="20"/>
          <w:lang w:val="lt-LT"/>
        </w:rPr>
        <w:t xml:space="preserve">apsaugos ministro </w:t>
      </w:r>
      <w:r w:rsidR="00CC141B" w:rsidRPr="00144B4A">
        <w:rPr>
          <w:rFonts w:ascii="Arial" w:hAnsi="Arial" w:cs="Arial"/>
          <w:color w:val="000000" w:themeColor="text1"/>
          <w:sz w:val="20"/>
          <w:szCs w:val="20"/>
          <w:lang w:val="lt-LT"/>
        </w:rPr>
        <w:t>20</w:t>
      </w:r>
      <w:r w:rsidR="00000160" w:rsidRPr="00144B4A">
        <w:rPr>
          <w:rFonts w:ascii="Arial" w:hAnsi="Arial" w:cs="Arial"/>
          <w:color w:val="000000" w:themeColor="text1"/>
          <w:sz w:val="20"/>
          <w:szCs w:val="20"/>
          <w:lang w:val="lt-LT"/>
        </w:rPr>
        <w:t>00 m</w:t>
      </w:r>
      <w:r w:rsidR="00C65FC6" w:rsidRPr="00144B4A">
        <w:rPr>
          <w:rFonts w:ascii="Arial" w:hAnsi="Arial" w:cs="Arial"/>
          <w:color w:val="000000" w:themeColor="text1"/>
          <w:sz w:val="20"/>
          <w:szCs w:val="20"/>
          <w:lang w:val="lt-LT"/>
        </w:rPr>
        <w:t xml:space="preserve">. </w:t>
      </w:r>
      <w:r w:rsidR="00B27AF8" w:rsidRPr="00144B4A">
        <w:rPr>
          <w:rFonts w:ascii="Arial" w:hAnsi="Arial" w:cs="Arial"/>
          <w:color w:val="000000" w:themeColor="text1"/>
          <w:sz w:val="20"/>
          <w:szCs w:val="20"/>
          <w:lang w:val="lt-LT"/>
        </w:rPr>
        <w:t xml:space="preserve">gegužės 24 d. </w:t>
      </w:r>
      <w:r w:rsidR="00A61C4B" w:rsidRPr="00144B4A">
        <w:rPr>
          <w:rFonts w:ascii="Arial" w:hAnsi="Arial" w:cs="Arial"/>
          <w:color w:val="000000" w:themeColor="text1"/>
          <w:sz w:val="20"/>
          <w:szCs w:val="20"/>
          <w:lang w:val="lt-LT"/>
        </w:rPr>
        <w:t xml:space="preserve">įsakymu Nr. 277 </w:t>
      </w:r>
      <w:r w:rsidR="00951BCB" w:rsidRPr="00144B4A">
        <w:rPr>
          <w:rFonts w:ascii="Arial" w:hAnsi="Arial" w:cs="Arial"/>
          <w:color w:val="000000" w:themeColor="text1"/>
          <w:sz w:val="20"/>
          <w:szCs w:val="20"/>
          <w:lang w:val="lt-LT"/>
        </w:rPr>
        <w:t xml:space="preserve">patvirtintos </w:t>
      </w:r>
      <w:r w:rsidR="00545313" w:rsidRPr="00144B4A">
        <w:rPr>
          <w:rFonts w:ascii="Arial" w:hAnsi="Arial" w:cs="Arial"/>
          <w:color w:val="000000" w:themeColor="text1"/>
          <w:sz w:val="20"/>
          <w:szCs w:val="20"/>
          <w:lang w:val="lt-LT"/>
        </w:rPr>
        <w:t>Higienos normos HN 98:2014 „Natūra</w:t>
      </w:r>
      <w:r w:rsidR="00CD2032" w:rsidRPr="00144B4A">
        <w:rPr>
          <w:rFonts w:ascii="Arial" w:hAnsi="Arial" w:cs="Arial"/>
          <w:color w:val="000000" w:themeColor="text1"/>
          <w:sz w:val="20"/>
          <w:szCs w:val="20"/>
          <w:lang w:val="lt-LT"/>
        </w:rPr>
        <w:t xml:space="preserve">lus ir dirbtinis </w:t>
      </w:r>
      <w:r w:rsidR="002231BF" w:rsidRPr="00144B4A">
        <w:rPr>
          <w:rFonts w:ascii="Arial" w:hAnsi="Arial" w:cs="Arial"/>
          <w:color w:val="000000" w:themeColor="text1"/>
          <w:sz w:val="20"/>
          <w:szCs w:val="20"/>
          <w:lang w:val="lt-LT"/>
        </w:rPr>
        <w:t xml:space="preserve">darbo vietų apšvietimas. Apšvietos mažiausios ribinės vertės ir </w:t>
      </w:r>
      <w:r w:rsidR="008541A9" w:rsidRPr="00144B4A">
        <w:rPr>
          <w:rFonts w:ascii="Arial" w:hAnsi="Arial" w:cs="Arial"/>
          <w:color w:val="000000" w:themeColor="text1"/>
          <w:sz w:val="20"/>
          <w:szCs w:val="20"/>
          <w:lang w:val="lt-LT"/>
        </w:rPr>
        <w:t xml:space="preserve">bendrieji matavimo reikalavimai“ </w:t>
      </w:r>
      <w:r w:rsidR="00C906D9" w:rsidRPr="00144B4A">
        <w:rPr>
          <w:rFonts w:ascii="Arial" w:hAnsi="Arial" w:cs="Arial"/>
          <w:color w:val="000000" w:themeColor="text1"/>
          <w:sz w:val="20"/>
          <w:szCs w:val="20"/>
          <w:lang w:val="lt-LT"/>
        </w:rPr>
        <w:t>(su vėlesniais pakeitimais);</w:t>
      </w:r>
    </w:p>
    <w:p w14:paraId="670B3136" w14:textId="2A44B941" w:rsidR="00D73BDA" w:rsidRPr="00144B4A" w:rsidRDefault="00A37672" w:rsidP="00D73BDA">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LTGI </w:t>
      </w:r>
      <w:r w:rsidR="00F52B59" w:rsidRPr="00144B4A">
        <w:rPr>
          <w:rFonts w:ascii="Arial" w:hAnsi="Arial" w:cs="Arial"/>
          <w:color w:val="000000" w:themeColor="text1"/>
          <w:sz w:val="20"/>
          <w:szCs w:val="20"/>
          <w:lang w:val="lt-LT"/>
        </w:rPr>
        <w:t xml:space="preserve">techninės priežiūros vadovo </w:t>
      </w:r>
      <w:r w:rsidR="00F33B8A" w:rsidRPr="00144B4A">
        <w:rPr>
          <w:rFonts w:ascii="Arial" w:hAnsi="Arial" w:cs="Arial"/>
          <w:color w:val="000000" w:themeColor="text1"/>
          <w:sz w:val="20"/>
          <w:szCs w:val="20"/>
          <w:lang w:val="lt-LT"/>
        </w:rPr>
        <w:t xml:space="preserve">2024-11-25 </w:t>
      </w:r>
      <w:r w:rsidR="00F52B59" w:rsidRPr="00144B4A">
        <w:rPr>
          <w:rFonts w:ascii="Arial" w:hAnsi="Arial" w:cs="Arial"/>
          <w:color w:val="000000" w:themeColor="text1"/>
          <w:sz w:val="20"/>
          <w:szCs w:val="20"/>
          <w:lang w:val="lt-LT"/>
        </w:rPr>
        <w:t xml:space="preserve">sprendimu </w:t>
      </w:r>
      <w:r w:rsidR="00F33B8A" w:rsidRPr="00144B4A">
        <w:rPr>
          <w:rFonts w:ascii="Arial" w:hAnsi="Arial" w:cs="Arial"/>
          <w:color w:val="000000" w:themeColor="text1"/>
          <w:sz w:val="20"/>
          <w:szCs w:val="20"/>
          <w:lang w:val="lt-LT"/>
        </w:rPr>
        <w:t xml:space="preserve">Nr. </w:t>
      </w:r>
      <w:r w:rsidR="006A2D3A" w:rsidRPr="00144B4A">
        <w:rPr>
          <w:rFonts w:ascii="Arial" w:hAnsi="Arial" w:cs="Arial"/>
          <w:color w:val="000000" w:themeColor="text1"/>
          <w:sz w:val="20"/>
          <w:szCs w:val="20"/>
          <w:lang w:val="lt-LT"/>
        </w:rPr>
        <w:t xml:space="preserve">SPR-L2(INFRA)-514/2024 </w:t>
      </w:r>
      <w:r w:rsidR="00F52B59" w:rsidRPr="00144B4A">
        <w:rPr>
          <w:rFonts w:ascii="Arial" w:hAnsi="Arial" w:cs="Arial"/>
          <w:color w:val="000000" w:themeColor="text1"/>
          <w:sz w:val="20"/>
          <w:szCs w:val="20"/>
          <w:lang w:val="lt-LT"/>
        </w:rPr>
        <w:t xml:space="preserve">patvirtintos </w:t>
      </w:r>
      <w:r w:rsidR="00B82AC1" w:rsidRPr="00144B4A">
        <w:rPr>
          <w:rFonts w:ascii="Arial" w:hAnsi="Arial" w:cs="Arial"/>
          <w:color w:val="000000" w:themeColor="text1"/>
          <w:sz w:val="20"/>
          <w:szCs w:val="20"/>
          <w:lang w:val="lt-LT"/>
        </w:rPr>
        <w:t>Elektrifikuoto geležinkelio kontaktinio tinklo techninės priežiūros taisyklės LTGI 41-1/AE</w:t>
      </w:r>
    </w:p>
    <w:p w14:paraId="258BB4C3" w14:textId="4853FF2F" w:rsidR="007B0A1A" w:rsidRPr="00144B4A" w:rsidRDefault="007B0A1A" w:rsidP="007B0A1A">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techninės priežiūros vadovo 2023-12-19 potvarkiu Nr. PO</w:t>
      </w:r>
      <w:r w:rsidR="00FA458B" w:rsidRPr="00144B4A">
        <w:rPr>
          <w:rFonts w:ascii="Arial" w:hAnsi="Arial" w:cs="Arial"/>
          <w:color w:val="000000" w:themeColor="text1"/>
          <w:sz w:val="20"/>
          <w:szCs w:val="20"/>
          <w:lang w:val="lt-LT"/>
        </w:rPr>
        <w:t>(INFRA)-576/2023</w:t>
      </w:r>
      <w:r w:rsidRPr="00144B4A">
        <w:rPr>
          <w:rFonts w:ascii="Arial" w:hAnsi="Arial" w:cs="Arial"/>
          <w:color w:val="000000" w:themeColor="text1"/>
          <w:sz w:val="20"/>
          <w:szCs w:val="20"/>
          <w:lang w:val="lt-LT"/>
        </w:rPr>
        <w:t xml:space="preserve"> patvirtintos Elektrifikuoto geležinkelio kontaktinio tinklo </w:t>
      </w:r>
      <w:r w:rsidR="00FA458B" w:rsidRPr="00144B4A">
        <w:rPr>
          <w:rFonts w:ascii="Arial" w:hAnsi="Arial" w:cs="Arial"/>
          <w:color w:val="000000" w:themeColor="text1"/>
          <w:sz w:val="20"/>
          <w:szCs w:val="20"/>
          <w:lang w:val="lt-LT"/>
        </w:rPr>
        <w:t>įrengimo</w:t>
      </w:r>
      <w:r w:rsidRPr="00144B4A">
        <w:rPr>
          <w:rFonts w:ascii="Arial" w:hAnsi="Arial" w:cs="Arial"/>
          <w:color w:val="000000" w:themeColor="text1"/>
          <w:sz w:val="20"/>
          <w:szCs w:val="20"/>
          <w:lang w:val="lt-LT"/>
        </w:rPr>
        <w:t xml:space="preserve"> taisyklės LTGI 41-</w:t>
      </w:r>
      <w:r w:rsidR="001B41C6" w:rsidRPr="00144B4A">
        <w:rPr>
          <w:rFonts w:ascii="Arial" w:hAnsi="Arial" w:cs="Arial"/>
          <w:color w:val="000000" w:themeColor="text1"/>
          <w:sz w:val="20"/>
          <w:szCs w:val="20"/>
          <w:lang w:val="lt-LT"/>
        </w:rPr>
        <w:t>2</w:t>
      </w:r>
      <w:r w:rsidRPr="00144B4A">
        <w:rPr>
          <w:rFonts w:ascii="Arial" w:hAnsi="Arial" w:cs="Arial"/>
          <w:color w:val="000000" w:themeColor="text1"/>
          <w:sz w:val="20"/>
          <w:szCs w:val="20"/>
          <w:lang w:val="lt-LT"/>
        </w:rPr>
        <w:t>/AE</w:t>
      </w:r>
    </w:p>
    <w:p w14:paraId="01A3460C" w14:textId="611AA637" w:rsidR="00B82AC1" w:rsidRPr="00144B4A" w:rsidDel="00980F80" w:rsidRDefault="1D7FC7A9"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techninės priežiūros vadovo 202</w:t>
      </w:r>
      <w:r w:rsidR="59EC128B" w:rsidRPr="00144B4A">
        <w:rPr>
          <w:rFonts w:ascii="Arial" w:hAnsi="Arial" w:cs="Arial"/>
          <w:color w:val="000000" w:themeColor="text1"/>
          <w:sz w:val="20"/>
          <w:szCs w:val="20"/>
          <w:lang w:val="lt-LT"/>
        </w:rPr>
        <w:t>1</w:t>
      </w:r>
      <w:r w:rsidRPr="00144B4A">
        <w:rPr>
          <w:rFonts w:ascii="Arial" w:hAnsi="Arial" w:cs="Arial"/>
          <w:color w:val="000000" w:themeColor="text1"/>
          <w:sz w:val="20"/>
          <w:szCs w:val="20"/>
          <w:lang w:val="lt-LT"/>
        </w:rPr>
        <w:t>-12-</w:t>
      </w:r>
      <w:r w:rsidR="59EC128B" w:rsidRPr="00144B4A">
        <w:rPr>
          <w:rFonts w:ascii="Arial" w:hAnsi="Arial" w:cs="Arial"/>
          <w:color w:val="000000" w:themeColor="text1"/>
          <w:sz w:val="20"/>
          <w:szCs w:val="20"/>
          <w:lang w:val="lt-LT"/>
        </w:rPr>
        <w:t>01</w:t>
      </w:r>
      <w:r w:rsidRPr="00144B4A">
        <w:rPr>
          <w:rFonts w:ascii="Arial" w:hAnsi="Arial" w:cs="Arial"/>
          <w:color w:val="000000" w:themeColor="text1"/>
          <w:sz w:val="20"/>
          <w:szCs w:val="20"/>
          <w:lang w:val="lt-LT"/>
        </w:rPr>
        <w:t xml:space="preserve"> potvarkiu Nr. PO(</w:t>
      </w:r>
      <w:r w:rsidR="216BA839" w:rsidRPr="00144B4A">
        <w:rPr>
          <w:rFonts w:ascii="Arial" w:hAnsi="Arial" w:cs="Arial"/>
          <w:color w:val="000000" w:themeColor="text1"/>
          <w:sz w:val="20"/>
          <w:szCs w:val="20"/>
          <w:lang w:val="lt-LT"/>
        </w:rPr>
        <w:t>LGI</w:t>
      </w:r>
      <w:r w:rsidRPr="00144B4A">
        <w:rPr>
          <w:rFonts w:ascii="Arial" w:hAnsi="Arial" w:cs="Arial"/>
          <w:color w:val="000000" w:themeColor="text1"/>
          <w:sz w:val="20"/>
          <w:szCs w:val="20"/>
          <w:lang w:val="lt-LT"/>
        </w:rPr>
        <w:t>)-</w:t>
      </w:r>
      <w:r w:rsidR="216BA839" w:rsidRPr="00144B4A">
        <w:rPr>
          <w:rFonts w:ascii="Arial" w:hAnsi="Arial" w:cs="Arial"/>
          <w:color w:val="000000" w:themeColor="text1"/>
          <w:sz w:val="20"/>
          <w:szCs w:val="20"/>
          <w:lang w:val="lt-LT"/>
        </w:rPr>
        <w:t>234</w:t>
      </w:r>
      <w:r w:rsidRPr="00144B4A">
        <w:rPr>
          <w:rFonts w:ascii="Arial" w:hAnsi="Arial" w:cs="Arial"/>
          <w:color w:val="000000" w:themeColor="text1"/>
          <w:sz w:val="20"/>
          <w:szCs w:val="20"/>
          <w:lang w:val="lt-LT"/>
        </w:rPr>
        <w:t xml:space="preserve"> patvirtint</w:t>
      </w:r>
      <w:r w:rsidR="216BA839" w:rsidRPr="00144B4A">
        <w:rPr>
          <w:rFonts w:ascii="Arial" w:hAnsi="Arial" w:cs="Arial"/>
          <w:color w:val="000000" w:themeColor="text1"/>
          <w:sz w:val="20"/>
          <w:szCs w:val="20"/>
          <w:lang w:val="lt-LT"/>
        </w:rPr>
        <w:t>a</w:t>
      </w:r>
      <w:r w:rsidRPr="00144B4A">
        <w:rPr>
          <w:rFonts w:ascii="Arial" w:hAnsi="Arial" w:cs="Arial"/>
          <w:color w:val="000000" w:themeColor="text1"/>
          <w:sz w:val="20"/>
          <w:szCs w:val="20"/>
          <w:lang w:val="lt-LT"/>
        </w:rPr>
        <w:t xml:space="preserve"> </w:t>
      </w:r>
      <w:r w:rsidR="216BA839" w:rsidRPr="00144B4A">
        <w:rPr>
          <w:rFonts w:ascii="Arial" w:hAnsi="Arial" w:cs="Arial"/>
          <w:color w:val="000000" w:themeColor="text1"/>
          <w:sz w:val="20"/>
          <w:szCs w:val="20"/>
          <w:lang w:val="lt-LT"/>
        </w:rPr>
        <w:t xml:space="preserve">Signalizacijos, ryšių ir elektros </w:t>
      </w:r>
      <w:r w:rsidR="7EFB552E" w:rsidRPr="00144B4A">
        <w:rPr>
          <w:rFonts w:ascii="Arial" w:hAnsi="Arial" w:cs="Arial"/>
          <w:color w:val="000000" w:themeColor="text1"/>
          <w:sz w:val="20"/>
          <w:szCs w:val="20"/>
          <w:lang w:val="lt-LT"/>
        </w:rPr>
        <w:t>sistemų ir įrenginių techninės dokumentacijos tvarkymo instrukcija LTGI 112/ARE</w:t>
      </w:r>
    </w:p>
    <w:p w14:paraId="5F16AFCC" w14:textId="17B10A43" w:rsidR="4E075616" w:rsidRPr="00144B4A" w:rsidRDefault="4E075616" w:rsidP="005A2352">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LR Aplinkos ministro 2022 m. vasario 24d. Nr.D1-57 įsakym</w:t>
      </w:r>
      <w:r w:rsidR="00F58091" w:rsidRPr="00144B4A">
        <w:rPr>
          <w:rFonts w:ascii="Arial" w:eastAsia="Calibri" w:hAnsi="Arial" w:cs="Arial"/>
          <w:color w:val="000000" w:themeColor="text1"/>
          <w:lang w:val="lt"/>
        </w:rPr>
        <w:t>as</w:t>
      </w:r>
      <w:r w:rsidRPr="00144B4A">
        <w:rPr>
          <w:rFonts w:ascii="Arial" w:eastAsia="Calibri" w:hAnsi="Arial" w:cs="Arial"/>
          <w:color w:val="000000" w:themeColor="text1"/>
          <w:lang w:val="lt"/>
        </w:rPr>
        <w:t xml:space="preserve"> Dėl Užsakovo informacijos reikalavimų patvirtinimo</w:t>
      </w:r>
    </w:p>
    <w:p w14:paraId="092E621A" w14:textId="2E317703" w:rsidR="7E14EB57" w:rsidRPr="00144B4A" w:rsidRDefault="7E14EB57" w:rsidP="755A37F9">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ISO 19650-1.2 Informacijos apie statybos darbus organizavimas . Informacijos valdymas naudojant pastato informacinį modeliavimą . 1 dalis . Sąvokos ir principai</w:t>
      </w:r>
    </w:p>
    <w:p w14:paraId="5BB3FB63" w14:textId="04459C24" w:rsidR="7E14EB57" w:rsidRPr="00144B4A" w:rsidRDefault="7E14EB57" w:rsidP="755A37F9">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ISO 19650-2.2 Informacijos apie statybos darbus organizavimas . Informacijos valdymas naudojant pastato informacinį modeliavimą . 2 dalis . Turto pristatymo etapas</w:t>
      </w:r>
      <w:r w:rsidR="4140BF74" w:rsidRPr="00144B4A">
        <w:rPr>
          <w:rFonts w:ascii="Arial" w:eastAsia="Calibri" w:hAnsi="Arial" w:cs="Arial"/>
          <w:color w:val="000000" w:themeColor="text1"/>
          <w:lang w:val="lt"/>
        </w:rPr>
        <w:t>;</w:t>
      </w:r>
    </w:p>
    <w:p w14:paraId="532B5316" w14:textId="7C10A691" w:rsidR="4140BF74" w:rsidRPr="00144B4A" w:rsidRDefault="4140BF74" w:rsidP="5B586ECA">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 xml:space="preserve">Projektavimo dokumentai turi atitikti norminių teisės aktų reikalavimus, o jais grindžiami sprendiniai suderinti su teritorijos infrastruktūros plėtra. Normatyviniai </w:t>
      </w:r>
      <w:r w:rsidRPr="00144B4A">
        <w:rPr>
          <w:rFonts w:ascii="Arial" w:eastAsia="Calibri" w:hAnsi="Arial" w:cs="Arial"/>
          <w:color w:val="000000" w:themeColor="text1"/>
          <w:lang w:val="lt"/>
        </w:rPr>
        <w:lastRenderedPageBreak/>
        <w:t xml:space="preserve">statybos techniniai dokumentai, privalomi visiems statybos dalyviams: - statybos techniniai reglamentai, - Vyriausybės įgaliotų institucijų teisės aktai – PTR, KTR, HN, elektros įrenginių įrengimo taisyklės, priešgaisriniai reikalavimai, saugos ir sveikatos reikalavimai ir </w:t>
      </w:r>
      <w:proofErr w:type="spellStart"/>
      <w:r w:rsidRPr="00144B4A">
        <w:rPr>
          <w:rFonts w:ascii="Arial" w:eastAsia="Calibri" w:hAnsi="Arial" w:cs="Arial"/>
          <w:color w:val="000000" w:themeColor="text1"/>
          <w:lang w:val="lt"/>
        </w:rPr>
        <w:t>kt</w:t>
      </w:r>
      <w:proofErr w:type="spellEnd"/>
    </w:p>
    <w:p w14:paraId="1510F664" w14:textId="7127A4B7" w:rsidR="1BA9E6C5" w:rsidRPr="00144B4A" w:rsidRDefault="1BA9E6C5" w:rsidP="3CF2E0A5">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 xml:space="preserve">AB ,,LTG </w:t>
      </w:r>
      <w:proofErr w:type="spellStart"/>
      <w:r w:rsidRPr="00144B4A">
        <w:rPr>
          <w:rFonts w:ascii="Arial" w:eastAsia="Calibri" w:hAnsi="Arial" w:cs="Arial"/>
          <w:color w:val="000000" w:themeColor="text1"/>
          <w:lang w:val="lt"/>
        </w:rPr>
        <w:t>Infra</w:t>
      </w:r>
      <w:proofErr w:type="spellEnd"/>
      <w:r w:rsidRPr="00144B4A">
        <w:rPr>
          <w:rFonts w:ascii="Arial" w:eastAsia="Calibri" w:hAnsi="Arial" w:cs="Arial"/>
          <w:color w:val="000000" w:themeColor="text1"/>
          <w:lang w:val="lt"/>
        </w:rPr>
        <w:t xml:space="preserve">” </w:t>
      </w:r>
      <w:r w:rsidR="6BB02787" w:rsidRPr="00144B4A">
        <w:rPr>
          <w:rFonts w:ascii="Arial" w:eastAsia="Calibri" w:hAnsi="Arial" w:cs="Arial"/>
          <w:color w:val="000000" w:themeColor="text1"/>
          <w:lang w:val="lt"/>
        </w:rPr>
        <w:t>Statinių artumo gabaritų taikymo nurodymai LTGI 163/K</w:t>
      </w:r>
    </w:p>
    <w:p w14:paraId="02192EBB" w14:textId="1637E3A6" w:rsidR="00E27EE4" w:rsidRPr="00980F80" w:rsidRDefault="00E27EE4" w:rsidP="00E27EE4">
      <w:pPr>
        <w:rPr>
          <w:rFonts w:ascii="Arial" w:hAnsi="Arial" w:cs="Arial"/>
          <w:sz w:val="24"/>
          <w:szCs w:val="24"/>
        </w:rPr>
      </w:pPr>
    </w:p>
    <w:sectPr w:rsidR="00E27EE4" w:rsidRPr="00980F80">
      <w:headerReference w:type="default" r:id="rId16"/>
      <w:pgSz w:w="11906" w:h="16838"/>
      <w:pgMar w:top="1440" w:right="1440"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eksandr Tarasevič" w:date="2025-03-05T10:03:00Z" w:initials="AT">
    <w:p w14:paraId="2F3CC19C" w14:textId="5DC201B2" w:rsidR="004D72AE" w:rsidRDefault="004D72AE" w:rsidP="004D72AE">
      <w:pPr>
        <w:pStyle w:val="Komentarotekstas"/>
      </w:pPr>
      <w:r>
        <w:rPr>
          <w:rStyle w:val="Komentaronuoroda"/>
        </w:rPr>
        <w:annotationRef/>
      </w:r>
      <w:r>
        <w:t>Nenurodytas dokumentas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3CC19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42F0A0" w16cex:dateUtc="2025-03-05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3CC19C" w16cid:durableId="6142F0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0006" w14:textId="77777777" w:rsidR="00586732" w:rsidRDefault="00586732" w:rsidP="00E27EE4">
      <w:pPr>
        <w:spacing w:after="0" w:line="240" w:lineRule="auto"/>
      </w:pPr>
      <w:r>
        <w:separator/>
      </w:r>
    </w:p>
  </w:endnote>
  <w:endnote w:type="continuationSeparator" w:id="0">
    <w:p w14:paraId="13C1644D" w14:textId="77777777" w:rsidR="00586732" w:rsidRDefault="00586732" w:rsidP="00E27EE4">
      <w:pPr>
        <w:spacing w:after="0" w:line="240" w:lineRule="auto"/>
      </w:pPr>
      <w:r>
        <w:continuationSeparator/>
      </w:r>
    </w:p>
  </w:endnote>
  <w:endnote w:type="continuationNotice" w:id="1">
    <w:p w14:paraId="74EFF48E" w14:textId="77777777" w:rsidR="00586732" w:rsidRDefault="005867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72E76" w14:textId="77777777" w:rsidR="00586732" w:rsidRDefault="00586732" w:rsidP="00E27EE4">
      <w:pPr>
        <w:spacing w:after="0" w:line="240" w:lineRule="auto"/>
      </w:pPr>
      <w:r>
        <w:separator/>
      </w:r>
    </w:p>
  </w:footnote>
  <w:footnote w:type="continuationSeparator" w:id="0">
    <w:p w14:paraId="177B9DC4" w14:textId="77777777" w:rsidR="00586732" w:rsidRDefault="00586732" w:rsidP="00E27EE4">
      <w:pPr>
        <w:spacing w:after="0" w:line="240" w:lineRule="auto"/>
      </w:pPr>
      <w:r>
        <w:continuationSeparator/>
      </w:r>
    </w:p>
  </w:footnote>
  <w:footnote w:type="continuationNotice" w:id="1">
    <w:p w14:paraId="0F858334" w14:textId="77777777" w:rsidR="00586732" w:rsidRDefault="005867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89C83" w14:textId="403CC9BE" w:rsidR="00E27EE4" w:rsidRPr="00E54F3E" w:rsidRDefault="00E27EE4" w:rsidP="00474A57">
    <w:pPr>
      <w:pStyle w:val="Antrats"/>
      <w:jc w:val="both"/>
      <w:rPr>
        <w:rFonts w:ascii="Arial" w:hAnsi="Arial" w:cs="Arial"/>
        <w:color w:val="000000" w:themeColor="text1"/>
      </w:rPr>
    </w:pPr>
    <w:r w:rsidRPr="00E54F3E">
      <w:rPr>
        <w:rFonts w:ascii="Arial" w:hAnsi="Arial" w:cs="Arial"/>
        <w:color w:val="000000" w:themeColor="text1"/>
      </w:rPr>
      <w:t>TS priedas Nr. 2</w:t>
    </w:r>
    <w:r w:rsidR="00C53B21" w:rsidRPr="00E54F3E">
      <w:rPr>
        <w:rFonts w:ascii="Arial" w:hAnsi="Arial" w:cs="Arial"/>
        <w:color w:val="000000" w:themeColor="text1"/>
      </w:rPr>
      <w:t xml:space="preserve"> AB „LTG INFRA“ taikomų pagrindinių normatyvinių dokumentų ir teisės aktų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E146BCCC"/>
    <w:lvl w:ilvl="0">
      <w:numFmt w:val="none"/>
      <w:lvlText w:val=""/>
      <w:lvlJc w:val="left"/>
      <w:pPr>
        <w:tabs>
          <w:tab w:val="num" w:pos="360"/>
        </w:tabs>
      </w:pPr>
    </w:lvl>
    <w:lvl w:ilvl="1">
      <w:start w:val="1"/>
      <w:numFmt w:val="decimal"/>
      <w:lvlText w:val="%1.%2."/>
      <w:lvlJc w:val="left"/>
      <w:pPr>
        <w:ind w:left="532" w:hanging="390"/>
      </w:pPr>
      <w:rPr>
        <w:rFonts w:ascii="Arial" w:hAnsi="Arial" w:hint="default"/>
        <w:b/>
        <w:bCs/>
        <w:i w:val="0"/>
        <w:iCs w:val="0"/>
        <w:color w:val="auto"/>
        <w:sz w:val="20"/>
        <w:szCs w:val="20"/>
      </w:rPr>
    </w:lvl>
    <w:lvl w:ilvl="2">
      <w:start w:val="1"/>
      <w:numFmt w:val="decimal"/>
      <w:lvlText w:val="%3."/>
      <w:lvlJc w:val="left"/>
      <w:pPr>
        <w:ind w:left="1080"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739910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r Tarasevič">
    <w15:presenceInfo w15:providerId="AD" w15:userId="S::aleksandr.tarasevic@ltginfra.lt::a0831576-7d3f-4da3-a42e-aa87123f17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EE4"/>
    <w:rsid w:val="00000160"/>
    <w:rsid w:val="000D1489"/>
    <w:rsid w:val="000D16E1"/>
    <w:rsid w:val="00144B4A"/>
    <w:rsid w:val="0017238B"/>
    <w:rsid w:val="00194BEE"/>
    <w:rsid w:val="001A5ED9"/>
    <w:rsid w:val="001B41C6"/>
    <w:rsid w:val="00220E5A"/>
    <w:rsid w:val="002231BF"/>
    <w:rsid w:val="00250CAA"/>
    <w:rsid w:val="002715AB"/>
    <w:rsid w:val="002A5C10"/>
    <w:rsid w:val="002B4FDA"/>
    <w:rsid w:val="00343D07"/>
    <w:rsid w:val="00351883"/>
    <w:rsid w:val="003A19EF"/>
    <w:rsid w:val="003E51A1"/>
    <w:rsid w:val="004452A6"/>
    <w:rsid w:val="00474A57"/>
    <w:rsid w:val="004B3531"/>
    <w:rsid w:val="004D0503"/>
    <w:rsid w:val="004D72AE"/>
    <w:rsid w:val="004F436B"/>
    <w:rsid w:val="00545313"/>
    <w:rsid w:val="00574B81"/>
    <w:rsid w:val="00577F19"/>
    <w:rsid w:val="00586732"/>
    <w:rsid w:val="005A2352"/>
    <w:rsid w:val="005F63A3"/>
    <w:rsid w:val="006631F8"/>
    <w:rsid w:val="0069133F"/>
    <w:rsid w:val="006A2D3A"/>
    <w:rsid w:val="0070132F"/>
    <w:rsid w:val="00787F4F"/>
    <w:rsid w:val="00792D3E"/>
    <w:rsid w:val="00795491"/>
    <w:rsid w:val="007B0A1A"/>
    <w:rsid w:val="007B68C2"/>
    <w:rsid w:val="00832906"/>
    <w:rsid w:val="0084221C"/>
    <w:rsid w:val="008541A9"/>
    <w:rsid w:val="00951BCB"/>
    <w:rsid w:val="00980F80"/>
    <w:rsid w:val="00995F07"/>
    <w:rsid w:val="009D0F2F"/>
    <w:rsid w:val="00A26647"/>
    <w:rsid w:val="00A37672"/>
    <w:rsid w:val="00A61C4B"/>
    <w:rsid w:val="00A6644B"/>
    <w:rsid w:val="00B27AF8"/>
    <w:rsid w:val="00B67A40"/>
    <w:rsid w:val="00B82AC1"/>
    <w:rsid w:val="00BA1749"/>
    <w:rsid w:val="00BE4714"/>
    <w:rsid w:val="00BF2390"/>
    <w:rsid w:val="00C53B21"/>
    <w:rsid w:val="00C65FC6"/>
    <w:rsid w:val="00C906D9"/>
    <w:rsid w:val="00CC141B"/>
    <w:rsid w:val="00CD2032"/>
    <w:rsid w:val="00D73BDA"/>
    <w:rsid w:val="00DD0303"/>
    <w:rsid w:val="00DF6615"/>
    <w:rsid w:val="00E27EE4"/>
    <w:rsid w:val="00E54F3E"/>
    <w:rsid w:val="00EA2FCC"/>
    <w:rsid w:val="00EA7D0B"/>
    <w:rsid w:val="00F33B8A"/>
    <w:rsid w:val="00F52B59"/>
    <w:rsid w:val="00F58091"/>
    <w:rsid w:val="00F6181C"/>
    <w:rsid w:val="00F82678"/>
    <w:rsid w:val="00F8383A"/>
    <w:rsid w:val="00FA458B"/>
    <w:rsid w:val="0A4AE556"/>
    <w:rsid w:val="0E34F531"/>
    <w:rsid w:val="1338BC96"/>
    <w:rsid w:val="14901917"/>
    <w:rsid w:val="15D96D48"/>
    <w:rsid w:val="1BA9E6C5"/>
    <w:rsid w:val="1D7FC7A9"/>
    <w:rsid w:val="1F25C20B"/>
    <w:rsid w:val="216BA839"/>
    <w:rsid w:val="2C810E13"/>
    <w:rsid w:val="39E6D7C1"/>
    <w:rsid w:val="3CF2E0A5"/>
    <w:rsid w:val="4140BF74"/>
    <w:rsid w:val="42CD2D0E"/>
    <w:rsid w:val="4E075616"/>
    <w:rsid w:val="5588E268"/>
    <w:rsid w:val="55FA062C"/>
    <w:rsid w:val="5723BC9E"/>
    <w:rsid w:val="59EC128B"/>
    <w:rsid w:val="5B586ECA"/>
    <w:rsid w:val="64AB9C8F"/>
    <w:rsid w:val="6B6424BC"/>
    <w:rsid w:val="6BB02787"/>
    <w:rsid w:val="6D63006C"/>
    <w:rsid w:val="74CCFB1B"/>
    <w:rsid w:val="755A37F9"/>
    <w:rsid w:val="7E14EB57"/>
    <w:rsid w:val="7EFB55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B00978"/>
  <w15:chartTrackingRefBased/>
  <w15:docId w15:val="{CD6C0294-C3AE-4C70-B84F-1B65B617D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27E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7E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7EE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7EE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7EE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7EE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7EE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7EE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7EE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7EE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7EE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7EE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7EE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7EE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7E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7E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7E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7E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7E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7E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7EE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7E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7EE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7EE4"/>
    <w:rPr>
      <w:i/>
      <w:iCs/>
      <w:color w:val="404040" w:themeColor="text1" w:themeTint="BF"/>
    </w:rPr>
  </w:style>
  <w:style w:type="paragraph" w:styleId="Sraopastraipa">
    <w:name w:val="List Paragraph"/>
    <w:basedOn w:val="prastasis"/>
    <w:uiPriority w:val="34"/>
    <w:qFormat/>
    <w:rsid w:val="00E27EE4"/>
    <w:pPr>
      <w:ind w:left="720"/>
      <w:contextualSpacing/>
    </w:pPr>
  </w:style>
  <w:style w:type="character" w:styleId="Rykuspabraukimas">
    <w:name w:val="Intense Emphasis"/>
    <w:basedOn w:val="Numatytasispastraiposriftas"/>
    <w:uiPriority w:val="21"/>
    <w:qFormat/>
    <w:rsid w:val="00E27EE4"/>
    <w:rPr>
      <w:i/>
      <w:iCs/>
      <w:color w:val="0F4761" w:themeColor="accent1" w:themeShade="BF"/>
    </w:rPr>
  </w:style>
  <w:style w:type="paragraph" w:styleId="Iskirtacitata">
    <w:name w:val="Intense Quote"/>
    <w:basedOn w:val="prastasis"/>
    <w:next w:val="prastasis"/>
    <w:link w:val="IskirtacitataDiagrama"/>
    <w:uiPriority w:val="30"/>
    <w:qFormat/>
    <w:rsid w:val="00E27E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7EE4"/>
    <w:rPr>
      <w:i/>
      <w:iCs/>
      <w:color w:val="0F4761" w:themeColor="accent1" w:themeShade="BF"/>
    </w:rPr>
  </w:style>
  <w:style w:type="character" w:styleId="Rykinuoroda">
    <w:name w:val="Intense Reference"/>
    <w:basedOn w:val="Numatytasispastraiposriftas"/>
    <w:uiPriority w:val="32"/>
    <w:qFormat/>
    <w:rsid w:val="00E27EE4"/>
    <w:rPr>
      <w:b/>
      <w:bCs/>
      <w:smallCaps/>
      <w:color w:val="0F4761" w:themeColor="accent1" w:themeShade="BF"/>
      <w:spacing w:val="5"/>
    </w:rPr>
  </w:style>
  <w:style w:type="paragraph" w:styleId="Antrats">
    <w:name w:val="header"/>
    <w:basedOn w:val="prastasis"/>
    <w:link w:val="AntratsDiagrama"/>
    <w:uiPriority w:val="99"/>
    <w:unhideWhenUsed/>
    <w:rsid w:val="00E27EE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27EE4"/>
  </w:style>
  <w:style w:type="paragraph" w:styleId="Porat">
    <w:name w:val="footer"/>
    <w:basedOn w:val="prastasis"/>
    <w:link w:val="PoratDiagrama"/>
    <w:uiPriority w:val="99"/>
    <w:unhideWhenUsed/>
    <w:rsid w:val="00E27EE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27EE4"/>
  </w:style>
  <w:style w:type="character" w:styleId="Komentaronuoroda">
    <w:name w:val="annotation reference"/>
    <w:basedOn w:val="Numatytasispastraiposriftas"/>
    <w:unhideWhenUsed/>
    <w:rsid w:val="00E27EE4"/>
    <w:rPr>
      <w:sz w:val="16"/>
      <w:szCs w:val="16"/>
    </w:rPr>
  </w:style>
  <w:style w:type="paragraph" w:styleId="Komentarotekstas">
    <w:name w:val="annotation text"/>
    <w:basedOn w:val="prastasis"/>
    <w:link w:val="KomentarotekstasDiagrama"/>
    <w:unhideWhenUsed/>
    <w:rsid w:val="00E27EE4"/>
    <w:pPr>
      <w:spacing w:line="240" w:lineRule="auto"/>
    </w:pPr>
    <w:rPr>
      <w:kern w:val="0"/>
      <w:sz w:val="20"/>
      <w:szCs w:val="20"/>
      <w:lang w:val="en-US"/>
      <w14:ligatures w14:val="none"/>
    </w:rPr>
  </w:style>
  <w:style w:type="character" w:customStyle="1" w:styleId="KomentarotekstasDiagrama">
    <w:name w:val="Komentaro tekstas Diagrama"/>
    <w:basedOn w:val="Numatytasispastraiposriftas"/>
    <w:link w:val="Komentarotekstas"/>
    <w:rsid w:val="00E27EE4"/>
    <w:rPr>
      <w:kern w:val="0"/>
      <w:sz w:val="20"/>
      <w:szCs w:val="20"/>
      <w:lang w:val="en-US"/>
      <w14:ligatures w14:val="none"/>
    </w:rPr>
  </w:style>
  <w:style w:type="paragraph" w:customStyle="1" w:styleId="paragraph">
    <w:name w:val="paragraph"/>
    <w:basedOn w:val="prastasis"/>
    <w:rsid w:val="00E27EE4"/>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Komentarotema">
    <w:name w:val="annotation subject"/>
    <w:basedOn w:val="Komentarotekstas"/>
    <w:next w:val="Komentarotekstas"/>
    <w:link w:val="KomentarotemaDiagrama"/>
    <w:uiPriority w:val="99"/>
    <w:semiHidden/>
    <w:unhideWhenUsed/>
    <w:rsid w:val="004D72AE"/>
    <w:rPr>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4D72AE"/>
    <w:rPr>
      <w:b/>
      <w:bCs/>
      <w:kern w:val="0"/>
      <w:sz w:val="20"/>
      <w:szCs w:val="20"/>
      <w:lang w:val="en-US"/>
      <w14:ligatures w14:val="none"/>
    </w:rPr>
  </w:style>
  <w:style w:type="character" w:styleId="Hipersaitas">
    <w:name w:val="Hyperlink"/>
    <w:basedOn w:val="Numatytasispastraiposriftas"/>
    <w:uiPriority w:val="99"/>
    <w:unhideWhenUsed/>
    <w:rsid w:val="004F436B"/>
    <w:rPr>
      <w:color w:val="467886" w:themeColor="hyperlink"/>
      <w:u w:val="single"/>
    </w:rPr>
  </w:style>
  <w:style w:type="character" w:styleId="Neapdorotaspaminjimas">
    <w:name w:val="Unresolved Mention"/>
    <w:basedOn w:val="Numatytasispastraiposriftas"/>
    <w:uiPriority w:val="99"/>
    <w:semiHidden/>
    <w:unhideWhenUsed/>
    <w:rsid w:val="004F436B"/>
    <w:rPr>
      <w:color w:val="605E5C"/>
      <w:shd w:val="clear" w:color="auto" w:fill="E1DFDD"/>
    </w:rPr>
  </w:style>
  <w:style w:type="paragraph" w:styleId="Pataisymai">
    <w:name w:val="Revision"/>
    <w:hidden/>
    <w:uiPriority w:val="99"/>
    <w:semiHidden/>
    <w:rsid w:val="004F43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enmin.lrv.lt/lt/veiklos-sritys-3/elektra/teises-aktai-elektros-sektoriu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E3885E-E161-41AB-9FB2-F853B6136A27}">
  <ds:schemaRefs>
    <ds:schemaRef ds:uri="http://schemas.microsoft.com/sharepoint/v3/contenttype/forms"/>
  </ds:schemaRefs>
</ds:datastoreItem>
</file>

<file path=customXml/itemProps2.xml><?xml version="1.0" encoding="utf-8"?>
<ds:datastoreItem xmlns:ds="http://schemas.openxmlformats.org/officeDocument/2006/customXml" ds:itemID="{E2739C6D-02E7-403F-86CD-5374D5470D13}">
  <ds:schemaRefs>
    <ds:schemaRef ds:uri="20034cc8-1506-4071-91f9-6567705a0d60"/>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f88ae7f9-890e-4a2c-909c-9555ec146da6"/>
    <ds:schemaRef ds:uri="http://www.w3.org/XML/1998/namespace"/>
    <ds:schemaRef ds:uri="http://purl.org/dc/dcmitype/"/>
  </ds:schemaRefs>
</ds:datastoreItem>
</file>

<file path=customXml/itemProps3.xml><?xml version="1.0" encoding="utf-8"?>
<ds:datastoreItem xmlns:ds="http://schemas.openxmlformats.org/officeDocument/2006/customXml" ds:itemID="{0E4ED5E3-F8D9-4FEA-98F6-AB1DE74BF4D7}">
  <ds:schemaRefs>
    <ds:schemaRef ds:uri="http://schemas.openxmlformats.org/officeDocument/2006/bibliography"/>
  </ds:schemaRefs>
</ds:datastoreItem>
</file>

<file path=customXml/itemProps4.xml><?xml version="1.0" encoding="utf-8"?>
<ds:datastoreItem xmlns:ds="http://schemas.openxmlformats.org/officeDocument/2006/customXml" ds:itemID="{6CB39E14-E707-4855-8B1A-89FEF3CBBD67}"/>
</file>

<file path=docProps/app.xml><?xml version="1.0" encoding="utf-8"?>
<Properties xmlns="http://schemas.openxmlformats.org/officeDocument/2006/extended-properties" xmlns:vt="http://schemas.openxmlformats.org/officeDocument/2006/docPropsVTypes">
  <Template>Normal</Template>
  <TotalTime>3</TotalTime>
  <Pages>3</Pages>
  <Words>4972</Words>
  <Characters>2835</Characters>
  <Application>Microsoft Office Word</Application>
  <DocSecurity>0</DocSecurity>
  <Lines>23</Lines>
  <Paragraphs>15</Paragraphs>
  <ScaleCrop>false</ScaleCrop>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Kizelevičius</cp:lastModifiedBy>
  <cp:revision>53</cp:revision>
  <dcterms:created xsi:type="dcterms:W3CDTF">2025-02-28T17:28:00Z</dcterms:created>
  <dcterms:modified xsi:type="dcterms:W3CDTF">2025-07-11T11:33:00Z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etDate">
    <vt:lpwstr>2025-02-28T07:28:05Z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446548ca-7bb8-4f45-85bc-5ce5041a50ed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